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HeilBerG (Brandenburg) — Aufgaben der Präsidentin oder des Präsidenten, Unvereinbarkeit</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 vertritt die Kammer gerichtlich und außergerichtlich. Erklärungen, die die Kammer vermögensrechtlich verpflichten, bedürfen der Schriftform. Sie sind nur rechtsverbindlich, wenn sie von der Präsidentin oder dem Präsidenten und einem weiteren Mitglied des Kammervorstandes unterzeichnet sind. Die elektronische Form ist ausgeschlossen.</w:t>
      </w:r>
    </w:p>
    <w:p>
      <w:r>
        <w:t xml:space="preserve">(2) Die Präsidentin oder der Präsident erledigt die laufenden Geschäfte der Kammer und führt die Beschlüsse des Kammervorstandes aus. Die Präsidentin oder der Präsident beruft die Sitzungen der Kammerversammlung sowie des Kammervorstandes ein und führt in diesen Sitzungen den Vorsitz.</w:t>
      </w:r>
    </w:p>
    <w:p>
      <w:r>
        <w:t xml:space="preserve">(3) Die Präsidentin oder der Präsident muss die Kammerversammlung einberufen, wenn ein Drittel ihrer Mitglieder es beantragt oder der Kammervorstand es beschließt.</w:t>
      </w:r>
    </w:p>
    <w:p>
      <w:r>
        <w:t xml:space="preserve">(4) Die Vizepräsidentin oder der Vizepräsident vertritt die Präsidentin oder den Präsidenten im Falle der Verhinderung.</w:t>
      </w:r>
    </w:p>
    <w:p>
      <w:r>
        <w:t xml:space="preserve">(5) Die Präsidentin oder der Präsident der Landesärzte- und der Landeszahnärztekammer darf nicht gleichzeitig Vorstandsmitglied der Kassenärztlichen oder Kassenzahnärztlichen Vereinigung sein.</w:t>
      </w:r>
    </w:p>
    <w:p>
      <w:r>
        <w:rPr>
          <w:color w:val="555555"/>
          <w:sz w:val="17"/>
        </w:rPr>
        <w:t xml:space="preserve">Zitiervorschlag: § 24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