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HeilBerG (Brandenburg) — Kammervorstand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Kammervorstand besteht aus der Präsidentin oder dem Präsidenten, der Vizepräsidentin oder dem Vizepräsidenten und mindestens drei Beisitzerinnen oder Beisitzern.</w:t>
      </w:r>
    </w:p>
    <w:p>
      <w:r>
        <w:t xml:space="preserve">(2) Der Kammervorstand führt die Geschäfte der Kammer nach Maßgabe der Hauptsatzung.</w:t>
      </w:r>
    </w:p>
    <w:p>
      <w:r>
        <w:t xml:space="preserve">(3) Der Kammervorstand führt nach Ablauf der Wahlperiode die Geschäfte weiter, bis der neue Kammervorstand die Geschäftsführung übernommen hat.</w:t>
      </w:r>
    </w:p>
    <w:p>
      <w:r>
        <w:t xml:space="preserve">(4) Eine Neuwahl des Kammervorstandes ist schon vor Ablauf der Wahlperiode vorzunehmen, wenn die absolute Mehrheit der Kammerversammlung dies verlangt.</w:t>
      </w:r>
    </w:p>
    <w:p>
      <w:r>
        <w:rPr>
          <w:color w:val="555555"/>
          <w:sz w:val="17"/>
        </w:rPr>
        <w:t xml:space="preserve">Zitiervorschlag: § 22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