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HeilBerG (Brandenburg) — Fraktionen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Vereinigungen von mindestens zehn Prozent der Mitglieder der Kammerversammlung können Fraktionen bilden.</w:t>
      </w:r>
    </w:p>
    <w:p>
      <w:r>
        <w:t xml:space="preserve">(2) Die Bildung von Fraktionen, ihre Bezeichnungen, die Namen der Vorsitzenden und Stellvertretung sowie der übrigen Fraktionsmitglieder sind der Präsidentin oder dem Präsidenten schriftlich oder elektronisch anzuzeigen.</w:t>
      </w:r>
    </w:p>
    <w:p>
      <w:r>
        <w:rPr>
          <w:color w:val="555555"/>
          <w:sz w:val="17"/>
        </w:rPr>
        <w:t xml:space="preserve">Zitiervorschlag: § 19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