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HeilBerG (Brandenburg) — Wahlordnung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Kammern regeln das Wahlverfahren durch Satzung (Wahlordnung), die insbesondere enthalten muss:</w:t>
      </w:r>
    </w:p>
    <w:p>
      <w:r>
        <w:t xml:space="preserve">die Bestimmung des Wahltages, der Wahlzeit und ihre Bekanntmachungen,</w:t>
      </w:r>
    </w:p>
    <w:p>
      <w:r>
        <w:t xml:space="preserve">die Bildung und die Aufgaben der Wahlorgane,</w:t>
      </w:r>
    </w:p>
    <w:p>
      <w:r>
        <w:t xml:space="preserve">die Voraussetzungen für die Aufnahme in das Wählerverzeichnis, dessen Führung, Auslegung, Berichtigung und Abschluss sowie die Voraussetzungen über den Einspruch gegen das Wählerverzeichnis und über die Benachrichtigung der Wahlberechtigten,</w:t>
      </w:r>
    </w:p>
    <w:p>
      <w:r>
        <w:t xml:space="preserve">die Anforderungen an die Wahlvorschläge, ihre Zulassung und ihre Bekanntmachungen,</w:t>
      </w:r>
    </w:p>
    <w:p>
      <w:r>
        <w:t xml:space="preserve">die Gestaltung der Stimmzettel,</w:t>
      </w:r>
    </w:p>
    <w:p>
      <w:r>
        <w:t xml:space="preserve">die Zusendung der Wahlunterlagen für die Stimmabgabe,</w:t>
      </w:r>
    </w:p>
    <w:p>
      <w:r>
        <w:t xml:space="preserve">die Wahlhandlung,</w:t>
      </w:r>
    </w:p>
    <w:p>
      <w:r>
        <w:t xml:space="preserve">die Auszählung der Stimmen und die Voraussetzungen für die Gültigkeit,</w:t>
      </w:r>
    </w:p>
    <w:p>
      <w:r>
        <w:t xml:space="preserve">die Ermittlung des Wahlergebnisses einschließlich der Ermittlung der auf die einzelnen Wahlvorschläge entfallenden Sitze und seine Bekanntmachung,</w:t>
      </w:r>
    </w:p>
    <w:p>
      <w:r>
        <w:t xml:space="preserve">den Erwerb und den Verlust der Mitgliedschaft in der Kammerversammlung, die Berufung von nachrückenden Ersatzpersonen und ihre Bekanntmachung,</w:t>
      </w:r>
    </w:p>
    <w:p>
      <w:r>
        <w:t xml:space="preserve">die Wahlprüfung durch die Kammerversammlung,</w:t>
      </w:r>
    </w:p>
    <w:p>
      <w:r>
        <w:t xml:space="preserve">die Wahlanfechtung,</w:t>
      </w:r>
    </w:p>
    <w:p>
      <w:r>
        <w:t xml:space="preserve">die Voraussetzungen für Wiederholungswahlen,</w:t>
      </w:r>
    </w:p>
    <w:p>
      <w:r>
        <w:t xml:space="preserve">die Neuwahl der Kammerversammlung auf Antrag (§ 17).</w:t>
      </w:r>
    </w:p>
    <w:p>
      <w:r>
        <w:rPr>
          <w:color w:val="555555"/>
          <w:sz w:val="17"/>
        </w:rPr>
        <w:t xml:space="preserve">Zitiervorschlag: § 16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