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HeilBerG (Brandenburg) — Einschränkung von Grundrechten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werden das Grundrecht auf informationelle Selbstbestimmung nach Artikel 2 Absatz 1 in Verbindung mit Artikel 1 Absatz 1 des Grundgesetzes, das Grundrecht auf Datenschutz nach Artikel 11 Absatz 1 der Verfassung des Landes Brandenburg und das Grundrecht auf Berufsfreiheit nach Artikel 49 Absatz 1 Satz 1 der Verfassung des Landes Brandenburg eingeschränkt.</w:t>
      </w:r>
    </w:p>
    <w:p>
      <w:r>
        <w:rPr>
          <w:color w:val="555555"/>
          <w:sz w:val="17"/>
        </w:rPr>
        <w:t xml:space="preserve">Zitiervorschlag: § 132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