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HeilBerG (Brandenburg) — Zuständigkeiten, Gebührenerhebung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Landesärztekammer, die Landeszahnärztekammer und die Landestierärztekammer sind zuständig für:</w:t>
      </w:r>
    </w:p>
    <w:p>
      <w:r>
        <w:t xml:space="preserve">die Prüfung und Bescheinigung des Erwerbs der Fachkunde nach § 47 Absatz 1 Satz 1 der Strahlenschutzverordnung,</w:t>
      </w:r>
    </w:p>
    <w:p>
      <w:r>
        <w:t xml:space="preserve">die Anforderung und Entgegennahme des Nachweises über die Aktualisierung der Fachkunde nach § 48 Absatz 2 der Strahlenschutzverordnung,</w:t>
      </w:r>
    </w:p>
    <w:p>
      <w:r>
        <w:t xml:space="preserve">den Widerruf der Anerkennung der Fachkunde sowie die Erteilung von Auflagen zur Fortgeltung nach § 50 Absatz 1 der Strahlenschutzverordnung,</w:t>
      </w:r>
    </w:p>
    <w:p>
      <w:r>
        <w:t xml:space="preserve">die Überprüfung der Fachkunde nach § 50 Absatz 2 der Strahlenschutzverordnung.</w:t>
      </w:r>
    </w:p>
    <w:p>
      <w:r>
        <w:t xml:space="preserve">Die Landesärztekammer und die Landeszahnärztekammer sind zuständig für die Anforderung und Entgegennahme von Arbeitsanweisungen nach § 121 Absatz 1 der Strahlenschutzverordnung.</w:t>
      </w:r>
    </w:p>
    <w:p>
      <w:r>
        <w:t xml:space="preserve">(2) Für die Erhebung von Gebühren durch die Kammern gilt § 128 Absatz 2 entsprechend.</w:t>
      </w:r>
    </w:p>
    <w:p>
      <w:r>
        <w:t xml:space="preserve">(3) Das Nähere regelt das für den Strahlenschutz zuständige Ministerium durch Verwaltungsvorschriften. Die Landesärztekammer, die Landeszahnärztekammer und die Landestierärztekammer sind vor ihrem Erlass zu hören, soweit sie betroffen sind.</w:t>
      </w:r>
    </w:p>
    <w:p>
      <w:r>
        <w:rPr>
          <w:color w:val="555555"/>
          <w:sz w:val="17"/>
        </w:rPr>
        <w:t xml:space="preserve">Zitiervorschlag: § 129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