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HeilBerG (Brandenburg) — Einrichtung ärztlicher und zahnärztlicher Stellen zur Qualitätssicherung, Gebührenerhebung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Landesärztekammer und die Landeszahnärztekammer richten ärztliche und zahnärztliche Stellen zur Qualitätssicherung bei der Untersuchung und Behandlung von Menschen nach § 128 der Strahlenschutzverordnung ein.</w:t>
      </w:r>
    </w:p>
    <w:p>
      <w:r>
        <w:t xml:space="preserve">(2) Für die Aufgaben nach Absatz 1 erheben diese Kammern Gebühren nach der Gebührenordnung MSGIV vom 19. April 2017 ( GVBl. II Nr. 23), die zuletzt durch die Verordnung vom 18. Dezember 2023 (GVBl. II Nr. 80) geändert worden ist, in der jeweils geltenden Fassung.</w:t>
      </w:r>
    </w:p>
    <w:p>
      <w:r>
        <w:t xml:space="preserve">(3) Das Nähere regelt das für den Strahlenschutz zuständige Ministerium durch Verwaltungsvorschriften. Die Landesärztekammer und die Landeszahnärztekammer sind vor ihrem Erlass zu hören, soweit sie betroffen sind.</w:t>
      </w:r>
    </w:p>
    <w:p>
      <w:r>
        <w:rPr>
          <w:color w:val="555555"/>
          <w:sz w:val="17"/>
        </w:rPr>
        <w:t xml:space="preserve">Zitiervorschlag: § 128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