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HeilBerG (Brandenburg) — Gebühren- und Auslagenfreiheit, Kostenerstattung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Verfahren vor der Gutachterstelle ist gebühren- und auslagenfrei.</w:t>
      </w:r>
    </w:p>
    <w:p>
      <w:r>
        <w:t xml:space="preserve">(2) Das Land erstattet der Landesärztekammer auf Nachweis am Schluss eines jeden Haushaltsjahres</w:t>
      </w:r>
    </w:p>
    <w:p>
      <w:r>
        <w:t xml:space="preserve">die Kosten, die durch die Zahlung von Vergütungen an einzelne Mitglieder der Gutachterstelle gemäß § 120 Abs. 2 Satz 2 entstanden sind,</w:t>
      </w:r>
    </w:p>
    <w:p>
      <w:r>
        <w:t xml:space="preserve">die Kosten für die Zuziehung von Sachverständigen nach</w:t>
      </w:r>
    </w:p>
    <w:p>
      <w:r>
        <w:t xml:space="preserve">§ 124 Abs. 2, und zwar bei ärztlichen Sachverständigen in Höhe der Sätze des Gebührenverzeichnisses der Gebührenordnung für Ärzte, bei anderen Sachverständigen entsprechend den Vorschriften des Justizvergütungs- und -entschädigungsgesetzes,</w:t>
      </w:r>
    </w:p>
    <w:p>
      <w:r>
        <w:t xml:space="preserve">die den Mitgliedern der Gutachterstelle gezahlte Entschädigung nach § 120 Absatz 2 Satz 1 bis zur Höhe des sich nach dem Justizvergütungs- und -entschädigungsgesetz ergebenden Betrages.</w:t>
      </w:r>
    </w:p>
    <w:p>
      <w:r>
        <w:t xml:space="preserve">(3) Das Land kann statt dessen im Einvernehmen mit der Landesärztekammer die dieser entstandenen Kosten im Sinne des Absatzes 2 ganz oder teilweise durch einen jährlichen Pauschalbetrag abgelten.</w:t>
      </w:r>
    </w:p>
    <w:p>
      <w:r>
        <w:rPr>
          <w:color w:val="555555"/>
          <w:sz w:val="17"/>
        </w:rPr>
        <w:t xml:space="preserve">Zitiervorschlag: § 127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