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HeilBerG (Brandenburg) — Entscheidung und Bekanntgabe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Gutachterstelle trifft ihre Entscheidung nach mündlicher Beratung mit Stimmenmehrheit.</w:t>
      </w:r>
    </w:p>
    <w:p>
      <w:r>
        <w:t xml:space="preserve">(2) Die Entscheidung ist dem Betroffenen und den weiteren nach § 123 Abs. 3 antragsberechtigten Personen schriftlich bekannt zu geben; die elektronische Form ist ausgeschlossen. Eine die Bestätigung oder das Zeugnis versagende Entscheidung ist zu begründen. Dabei ist auf den gesundheitlichen Zustand des Betroffenen Rücksicht zu nehmen.</w:t>
      </w:r>
    </w:p>
    <w:p>
      <w:r>
        <w:rPr>
          <w:color w:val="555555"/>
          <w:sz w:val="17"/>
        </w:rPr>
        <w:t xml:space="preserve">Zitiervorschlag: § 125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