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HeilBerG (Brandenburg) — Vorsitz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der Gutachterstelle wählen aus ihrer Mitte eine Vorsitzende oder einen Vorsitzenden. Die oder der Vorsitzende leitet die Beratung und Beschlussfassung und führt die Geschäfte der Gutachterstelle.</w:t>
      </w:r>
    </w:p>
    <w:p>
      <w:r>
        <w:t xml:space="preserve">(2) Der oder dem Vorsitzenden steht eine Geschäftsstelle zur Verfügung, die von der Landesärztekammer eingerichtet wird.</w:t>
      </w:r>
    </w:p>
    <w:p>
      <w:r>
        <w:rPr>
          <w:color w:val="555555"/>
          <w:sz w:val="17"/>
        </w:rPr>
        <w:t xml:space="preserve">Zitiervorschlag: § 121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