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118 HeilBerG (Brandenburg) — Beendigung der Mitgliedschaft, Untersagung der Amtsführung</w:t>
      </w:r>
    </w:p>
    <w:p>
      <w:r>
        <w:rPr>
          <w:color w:val="555555"/>
          <w:sz w:val="18"/>
        </w:rPr>
        <w:t xml:space="preserve">Heilberufsgesetz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Mitglieder können ihr Amt jederzeit durch schriftliche oder elektronische Erklärung gegenüber der Landesärztekammer niederlegen.</w:t>
      </w:r>
    </w:p>
    <w:p>
      <w:r>
        <w:t xml:space="preserve">(2) Die Mitgliedschaft endet, wenn eine Bestellungsvoraussetzung entfällt.</w:t>
      </w:r>
    </w:p>
    <w:p>
      <w:r>
        <w:t xml:space="preserve">(3) Begründen Tatsachen den Verdacht auf das Vorliegen eines Beendigungs- oder Abberufungsgrundes, kann dem Mitglied die Amtsführung bis zur Klärung vorläufig untersagt werden. Die Entscheidung trifft die Landesärztekammer.</w:t>
      </w:r>
    </w:p>
    <w:p>
      <w:r>
        <w:rPr>
          <w:color w:val="555555"/>
          <w:sz w:val="17"/>
        </w:rPr>
        <w:t xml:space="preserve">Zitiervorschlag: § 118 HeilBerG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https://recht.nulegal.eu/gesetze/HeilBerG/118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