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112 HeilBerG (Brandenburg) — Kostenerstattung</w:t>
      </w:r>
    </w:p>
    <w:p>
      <w:r>
        <w:rPr>
          <w:color w:val="555555"/>
          <w:sz w:val="18"/>
        </w:rPr>
        <w:t xml:space="preserve">Heilberufsgesetz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Personal- und Sachkosten der Berufsgerichtsbarkeit sind dem Land am Schluss eines jeden Rechnungsjahres von den Kammern im Verhältnis der Zahl ihrer Angehörigen zu erstatten.</w:t>
      </w:r>
    </w:p>
    <w:p>
      <w:r>
        <w:t xml:space="preserve">(2) Die Einnahmen an Gebühren, Kosten und Geldbußen fließen dem Land zu; soweit die Isteinnahmen die nach Absatz 1 dem Land zu erstattenden Kosten übersteigen, sind sie im nächsten Haushaltsjahr an die Kammern im Verhältnis der Zahl ihrer Angehörigen auszuzahlen. Die Kammern haben diese Beträge ihren Fürsorge- und Versorgungseinrichtungen (§ 2 Abs. 1 Nr. 8) zuzuführen.</w:t>
      </w:r>
    </w:p>
    <w:p>
      <w:r>
        <w:rPr>
          <w:color w:val="555555"/>
          <w:sz w:val="17"/>
        </w:rPr>
        <w:t xml:space="preserve">Zitiervorschlag: § 112 HeilBerG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https://recht.nulegal.eu/gesetze/HeilBerG/112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