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HeilBerG (Brandenburg) — Festsetzung der Höhe der Verfahrenskosten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Kosten werden durch die Geschäftsstelle des erstinstanzlichen Gerichtes festgesetzt.</w:t>
      </w:r>
    </w:p>
    <w:p>
      <w:r>
        <w:t xml:space="preserve">(2) Über Erinnerungen gegen die Kostenfestsetzung entscheidet das Berufsgericht für Heilberufe endgültig.</w:t>
      </w:r>
    </w:p>
    <w:p>
      <w:r>
        <w:rPr>
          <w:color w:val="555555"/>
          <w:sz w:val="17"/>
        </w:rPr>
        <w:t xml:space="preserve">Zitiervorschlag: § 107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