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HeilBerG (Brandenburg) — Beschwerde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Verfahren vor dem Berufsgericht für Heilberufe und vor dem Landesberufsgericht für Heilberufe ist nach den Vorschriften der Strafprozessordnung die Beschwerde zulässig.</w:t>
      </w:r>
    </w:p>
    <w:p>
      <w:r>
        <w:t xml:space="preserve">(2) Die Beschwerde ist auch gegeben gegen</w:t>
      </w:r>
    </w:p>
    <w:p>
      <w:r>
        <w:t xml:space="preserve">die Zurückweisung des Antrages auf Eröffnung des berufsgerichtlichen Verfahrens,</w:t>
      </w:r>
    </w:p>
    <w:p>
      <w:r>
        <w:t xml:space="preserve">die Einstellung des Verfahrens oder</w:t>
      </w:r>
    </w:p>
    <w:p>
      <w:r>
        <w:t xml:space="preserve">die Zurückweisung des Antrages auf Fortsetzung des Verfahrens (§ 93 Abs. 2).</w:t>
      </w:r>
    </w:p>
    <w:p>
      <w:r>
        <w:rPr>
          <w:color w:val="555555"/>
          <w:sz w:val="17"/>
        </w:rPr>
        <w:t xml:space="preserve">Zitiervorschlag: § 103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