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HeilBerG (Brandenburg) — Aufhebung der Entscheidung, Zurückverweisung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Landesberufsgericht für Heilberufe kann durch Urteil die angefochtene Entscheidung aufheben und die Sache an das Berufsgericht für Heilberufe zurückverweisen, wenn</w:t>
      </w:r>
    </w:p>
    <w:p>
      <w:r>
        <w:t xml:space="preserve">das Verfahren erster Instanz an einem wesentlichen Mangel leidet,</w:t>
      </w:r>
    </w:p>
    <w:p>
      <w:r>
        <w:t xml:space="preserve">weitere Aufklärung erforderlich ist oder</w:t>
      </w:r>
    </w:p>
    <w:p>
      <w:r>
        <w:t xml:space="preserve">Beschuldigte der Einbeziehung neuer Vorwürfe in das Verfahren (§ 88) nicht zustimmen.</w:t>
      </w:r>
    </w:p>
    <w:p>
      <w:r>
        <w:t xml:space="preserve">(2) Im Falle des Absatzes 1 Nr. 3 ist der Eröffnungsbeschluss durch das Landesberufsgericht für Heilberufe zu ergänzen.</w:t>
      </w:r>
    </w:p>
    <w:p>
      <w:r>
        <w:rPr>
          <w:color w:val="555555"/>
          <w:sz w:val="17"/>
        </w:rPr>
        <w:t xml:space="preserve">Zitiervorschlag: § 102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https://recht.nulegal.eu/gesetze/HeilBerG/102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