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HeilBerG (Brandenburg) — Wahlberechtigung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Wahlberechtigt zur Kammerversammlung sind alle Kammerangehörigen außer denjenigen, die</w:t>
      </w:r>
    </w:p>
    <w:p>
      <w:r>
        <w:t xml:space="preserve">für die Besorgung aller ihrer Angelegenheiten betreut werden. Dies gilt auch, wenn der Aufgabenkreis der Betreuerinnen und Betreuer die in § 1815 Absatz 2 Nummer 5 und 6 und § 1830 des Bürgerlichen Gesetzbuches bezeichneten Angelegenheiten nicht erfasst,</w:t>
      </w:r>
    </w:p>
    <w:p>
      <w:r>
        <w:t xml:space="preserve">infolge gerichtlicher Entscheidung gemäß § 59 Abs. 1 Nr. 3 das Wahlrecht nicht besitzen.</w:t>
      </w:r>
    </w:p>
    <w:p>
      <w:r>
        <w:t xml:space="preserve">(2) Voraussetzung für die Ausübung des Wahlrechtes ist die Eintragung in das Wählerverzeichnis.</w:t>
      </w:r>
    </w:p>
    <w:p>
      <w:r>
        <w:rPr>
          <w:color w:val="555555"/>
          <w:sz w:val="17"/>
        </w:rPr>
        <w:t xml:space="preserve">Zitiervorschlag: § 10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