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HeilBV (Bayern) — Inkrafttreten, Außerkrafttreten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1997 in Kraft.</w:t>
      </w:r>
    </w:p>
    <w:p>
      <w:r>
        <w:t xml:space="preserve">(2) Es treten außer Kraft:</w:t>
      </w:r>
    </w:p>
    <w:p>
      <w:r>
        <w:t xml:space="preserve">1. § 19 Abs. 2 mit Ablauf des 31. Dezember 2026 und</w:t>
      </w:r>
    </w:p>
    <w:p>
      <w:r>
        <w:t xml:space="preserve">2. § 19 Abs. 1 mit Ablauf des 31. August 2035.</w:t>
      </w:r>
    </w:p>
    <w:p>
      <w:r>
        <w:rPr>
          <w:color w:val="555555"/>
          <w:sz w:val="17"/>
        </w:rPr>
        <w:t xml:space="preserve">Zitiervorschlag: § 20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