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HeilBV (Bayern) — Übergangsvorschrift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von Oberbayern ist zuständige Behörde</w:t>
      </w:r>
    </w:p>
    <w:p>
      <w:r>
        <w:t xml:space="preserve">1. im Sinn von § 10 Abs. 3 und 4 des PsychThG in der am 31. August 2020 geltenden Fassung und</w:t>
      </w:r>
    </w:p>
    <w:p>
      <w:r>
        <w:t xml:space="preserve">2. im Sinn des jeweils Ersten bis Dritten Abschnitts der Ausbildungs- und Prüfungsverordnung für Psychologische Psychotherapeuten sowie der Ausbildungs- und Prüfungsverordnung für Kinder- und Jugendlichenpsychotherapeuten jeweils in der am 31. August 2020 geltenden Fassung.</w:t>
      </w:r>
    </w:p>
    <w:p>
      <w:r>
        <w:t xml:space="preserve">(2) Für den nach dem 31. Dezember 2022 verbleibenden Vollzug des MTA-Gesetzes und des Gesetzes über den Beruf des pharmazeutisch-technischen Assistenten sind die Regierungen zuständig.</w:t>
      </w:r>
    </w:p>
    <w:p>
      <w:r>
        <w:rPr>
          <w:color w:val="555555"/>
          <w:sz w:val="17"/>
        </w:rPr>
        <w:t xml:space="preserve">Zitiervorschlag: § 19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