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HeilBV (Bayern) — Leistungsnachweise</w:t>
      </w:r>
    </w:p>
    <w:p>
      <w:r>
        <w:rPr>
          <w:color w:val="555555"/>
          <w:sz w:val="18"/>
        </w:rPr>
        <w:t xml:space="preserve">Heilberufeverordnung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im Rahmen des theoretischen und praktischen Unterrichts gemäß Anlage 1 Buchst. A PhysTh-APrV und Anlage 1 LogAPrO zu erhebenden Leistungsnachweise können bei einer kombinierten Ausbildung nach Maßgabe der jeweiligen Studien- und Prüfungsordnung durch Modulprüfungen erbracht werden. In der praktischen Ausbildung gilt § 17 Abs. 1 Satz 6 und Abs. 3 Satz 2 BFSO Gesundheit.</w:t>
      </w:r>
    </w:p>
    <w:p>
      <w:r>
        <w:t xml:space="preserve">(2) Für einen primärqualifizierenden Studiengang gelten die Regelungen der jeweiligen Studien- und Prüfungsordnung. Diese kann vorsehen, dass Leistungsnachweise durch Modulprüfungen erbracht werden.</w:t>
      </w:r>
    </w:p>
    <w:p>
      <w:r>
        <w:rPr>
          <w:color w:val="555555"/>
          <w:sz w:val="17"/>
        </w:rPr>
        <w:t xml:space="preserve">Zitiervorschlag: § 16 HeilBV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https://recht.nulegal.eu/gesetze/HeilBV/16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