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HeilBV (Bayern) — Bedingungen für die Teilnahme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Aufnahme eines Studiengangs setzt die Immatrikulation als Studierende oder Studierender voraus.</w:t>
      </w:r>
    </w:p>
    <w:p>
      <w:r>
        <w:t xml:space="preserve">(2) Teilnehmerinnen und Teilnehmer einer kombinierten Ausbildung sind zugleich Schülerinnen und Schüler einer Berufsfachschule. Dementsprechend muss die tatsächliche Aufnahme an einer öffentlichen oder staatlich anerkannten Berufsfachschule für Physiotherapie oder Logopädie vorliegen.</w:t>
      </w:r>
    </w:p>
    <w:p>
      <w:r>
        <w:t xml:space="preserve">(3) In den Fällen der Abs. 1 und 2 müssen zudem die Voraussetzungen für den Zugang zur Ausbildung nach den in § 10 genannten Berufsgesetzen vorliegen.</w:t>
      </w:r>
    </w:p>
    <w:p>
      <w:r>
        <w:rPr>
          <w:color w:val="555555"/>
          <w:sz w:val="17"/>
        </w:rPr>
        <w:t xml:space="preserve">Zitiervorschlag: § 13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