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HeilBV (Bayern) — Art und Dauer der Ausbildung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Ausbildungen nach § 10 können als Studiengang an einer Hochschule – primärqualifizierender Studiengang – oder als Studiengang an einer Hochschule in Kombination mit einer berufsfachschulischen Ausbildung – kombinierte Ausbildung – angeboten werden und führen zu den Abschlüssen nach den Sätzen 2 und 3. Die Studiengänge werden durch eine Bachelorprüfung abgeschlossen und führen zu einem Bachelorabschluss. Die Teilnehmerinnen und Teilnehmer an den Ausbildungen nach Satz 1 legen außerdem eine staatliche Prüfung nach § 18 ab.</w:t>
      </w:r>
    </w:p>
    <w:p>
      <w:r>
        <w:t xml:space="preserve">(2) Die Ausbildungsdauer richtet sich hinsichtlich des Studiengangs nach der Studien- und Prüfungsordnung der Hochschule und hinsichtlich der berufsfachschulischen Ausbildung nach § 3 der Berufsfachschulordnung Gesundheitswesen (BFSO Gesundheit).</w:t>
      </w:r>
    </w:p>
    <w:p>
      <w:r>
        <w:rPr>
          <w:color w:val="555555"/>
          <w:sz w:val="17"/>
        </w:rPr>
        <w:t xml:space="preserve">Zitiervorschlag: § 12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