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HeilBV (Bayern) — Anwendungsbereich</w:t>
      </w:r>
    </w:p>
    <w:p>
      <w:r>
        <w:rPr>
          <w:color w:val="555555"/>
          <w:sz w:val="18"/>
        </w:rPr>
        <w:t xml:space="preserve">Heilberufeverordnung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Vorschriften dieses Teils gelten für Ausbildungsangebote gemäß Art. 17 Abs. 3 GDG in Verbindung mit</w:t>
      </w:r>
    </w:p>
    <w:p>
      <w:r>
        <w:t xml:space="preserve">1. § 18a MPhG und</w:t>
      </w:r>
    </w:p>
    <w:p>
      <w:r>
        <w:t xml:space="preserve">2. § 8a des Gesetzes über den Beruf des Logopäden.</w:t>
      </w:r>
    </w:p>
    <w:p>
      <w:r>
        <w:rPr>
          <w:color w:val="555555"/>
          <w:sz w:val="17"/>
        </w:rPr>
        <w:t xml:space="preserve">Zitiervorschlag: § 10 HeilBV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