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HeilBV (Bayern) — Vollzug der Berufsgesetze für Ärzte, Zahnärzte, Apotheker, Psychotherapeuten und Tierärzte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Vollzug der Bundesärzteordnung, des Gesetzes über die Ausübung der Zahnheilkunde, der Bundes-Tierärzteordnung und der Bundes-Apothekerordnung sowie des Psychotherapeutengesetzes (PsychThG) obliegt</w:t>
      </w:r>
    </w:p>
    <w:p>
      <w:r>
        <w:t xml:space="preserve">1. der Regierung von Oberbayern für die Regierungsbezirke Oberbayern, Niederbayern, Oberpfalz und Schwaben,</w:t>
      </w:r>
    </w:p>
    <w:p>
      <w:r>
        <w:t xml:space="preserve">2. der Regierung von Unterfranken für die Regierungsbezirke Ober-, Mittel- und Unterfranken.</w:t>
      </w:r>
    </w:p>
    <w:p>
      <w:r>
        <w:t xml:space="preserve">Abweichend von Satz 1 Nr. 2 ist die Regierung von Oberbayern zuständige Stelle</w:t>
      </w:r>
    </w:p>
    <w:p>
      <w:r>
        <w:t xml:space="preserve">1. für die Erteilung von Berufszulassungen an Personen mit ausländischer Berufsqualifikation nach den in Satz 1 genannten Berufsgesetzen und den auf deren Grundlage erlassenen Approbationsordnungen und</w:t>
      </w:r>
    </w:p>
    <w:p>
      <w:r>
        <w:t xml:space="preserve">2. im Sinn von § 9 Abs. 5 sowie § 22 Abs. 5 und 7 PsychThG.</w:t>
      </w:r>
    </w:p>
    <w:p>
      <w:r>
        <w:t xml:space="preserve">(2) Die Zuständigkeit erstreckt sich auch auf die Europäische Verwaltungszusammenarbeit gemäß Art. 8a bis 8e des Bayerischen Verwaltungsverfahrensgesetzes (BayVwVfG), insbesondere mit Hilfe des Binnenmarkt-Informationssystems im Sinn der Verordnung (EU) Nr. 1024/2012 des Europäischen Parlaments und des Rates vom 25. Oktober 2012 über die Verwaltungszusammenarbeit mit Hilfe des Binnenmarkt-Informationssystems und zur Aufhebung der Entscheidung 2008/49/EG der Kommission – IMI-Verordnung – (ABl L 316 S. 1) in der jeweils geltenden Fassung, soweit Fragen zur Berufsqualifikation, zur Berufszulassung oder zur Berufsausübung von Berufsangehörigen nach den in Abs. 1 genannten Berufsgesetzen betroffen sind.</w:t>
      </w:r>
    </w:p>
    <w:p>
      <w:r>
        <w:rPr>
          <w:color w:val="555555"/>
          <w:sz w:val="17"/>
        </w:rPr>
        <w:t xml:space="preserve">Zitiervorschlag: § 1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