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HebStPrV — Umfang und Inhalt der Praxiseinsätze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27.11.2024 (konsolidierte Textfassung, kein amtliches Inkrafttretensdatum)</w:t>
      </w:r>
    </w:p>
    <w:p>
      <w:r>
        <w:t xml:space="preserve">(1) Die Praxiseinsätze nach den §§ 6 bis 7a werden so festgelegt, dass sie mindestens den Vorgaben in Anlage 2 entsprechen.</w:t>
      </w:r>
    </w:p>
    <w:p>
      <w:r>
        <w:t xml:space="preserve">(2) Während der Praxiseinsätze sind insbesondere die in Anlage 3 aufgeführten Tätigkeiten auszuüben.</w:t>
      </w:r>
    </w:p>
    <w:p>
      <w:r>
        <w:rPr>
          <w:color w:val="555555"/>
          <w:sz w:val="17"/>
        </w:rPr>
        <w:t xml:space="preserve">Zitiervorschlag: § 8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