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HebStPrV — Nachweise der gesundheitlichen Eignung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Eine Person, die über eine Berufsqualifikation aus einem anderen Mitgliedstaat, einem anderen Vertragsstaat oder einem gleichgestellten Staat verfügt und eine Erlaubnis nach § 5 des Hebammengesetzes beantragt, kann zum Nachweis, dass bei ihr die in § 5 Absatz 2 Nummer 3 des Hebammengesetzes genannte Voraussetzung vorliegt, einen entsprechenden Nachweis ihres Herkunftsstaates vorlegen.</w:t>
      </w:r>
    </w:p>
    <w:p>
      <w:r>
        <w:t xml:space="preserve">(2) Wird im Herkunftsstaat ein solcher Nachweis nicht verlangt, ist eine von einer zuständigen Behörde dieses Staates ausgestellte Bescheinigung anzuerkennen, aus der sich ergibt, dass die in § 5 Absatz 2 Nummer 3 des Hebammengesetzes genannte Voraussetzung erfüllt ist.</w:t>
      </w:r>
    </w:p>
    <w:p>
      <w:r>
        <w:rPr>
          <w:color w:val="555555"/>
          <w:sz w:val="17"/>
        </w:rPr>
        <w:t xml:space="preserve">Zitiervorschlag: § 55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