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HebStPrV — Nachweise der Zuverlässigkeit</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Eine Person, die über eine Berufsqualifikation aus einem anderen Mitgliedstaat, einem anderen Vertragsstaat oder einem gleichgestellten Staat verfügt und eine Erlaubnis nach § 5 des Hebammengesetzes beantragt, kann zum Nachweis, dass bei ihr die in § 5 Absatz 2 Nummer 2 des Hebammengesetzes genannte Voraussetzung vorliegt, eine von der zuständigen Behörde ihres Herkunftsstaates ausgestellte entsprechende Bescheinigung oder einen von einer solchen Behörde ausgestellten Strafregisterauszug vorlegen. Wenn ein solcher Nachweis nicht vorgelegt werden kann, kann die antragstellende Person einen gleichwertigen Nachweis vorlegen.</w:t>
      </w:r>
    </w:p>
    <w:p>
      <w:r>
        <w:t xml:space="preserve">(2) Hat die für die Erteilung der Erlaubnis zuständige Behörde berechtigte Zweifel an einem der in Absatz 1 genannten Dokumente, so kann sie von der zuständigen Behörde des Herkunftsstaates eine Bestätigung verlangen, aus der sich ergibt, dass der antragstellenden Person die Ausübung des Berufs, der dem Hebammenberuf entspricht, nicht auf Grund eines schwerwiegenden standeswidrigen Verhaltens oder einer Verurteilung wegen strafbarer Handlungen dauerhaft oder vorübergehend untersagt worden ist.</w:t>
      </w:r>
    </w:p>
    <w:p>
      <w:r>
        <w:t xml:space="preserve">(3) Hat die für die Erteilung der Erlaubnis zuständige Behörde von Tatsachen Kenntnis, die außerhalb des Geltungsbereichs des Hebammengesetzes eingetreten sind und im Hinblick auf die Voraussetzungen des § 5 Absatz 2 Nummer 2 des Hebammengesetzes von Bedeutung sein können, so hat sie die zuständige Stelle des Herkunftsstaates zu unterrichten und sie zu bitten, diese Tatsachen zu überprüfen und ihr das Ergebnis und die Folgerungen, die die zuständige Stelle des Herkunftsstaates hinsichtlich der von ihr ausgestellten Bescheinigungen und Nachweise daraus zieht, mitzuteilen.</w:t>
      </w:r>
    </w:p>
    <w:p>
      <w:r>
        <w:t xml:space="preserve">(4) Werden von der zuständigen Stelle des Herkunftsstaates innerhalb von zwei Monaten weder die in Absatz 1 genannten Bescheinigungen oder Strafregisterauszüge ausgestellt noch die nach Absatz 2 oder 3 nachgefragten Bestätigungen oder Mitteilungen gemacht, kann die antragstellende Person sie durch Vorlage einer Bescheinigung über die Abgabe einer eidesstattlichen Erklärung gegenüber der zuständigen Behörde des Herkunftsstaates oder über die Abgabe einer feierlichen Erklärung, wenn es in dem Herkunftsstaat keine eidesstattliche Erklärung gibt, ersetzen.</w:t>
      </w:r>
    </w:p>
    <w:p>
      <w:r>
        <w:rPr>
          <w:color w:val="555555"/>
          <w:sz w:val="17"/>
        </w:rPr>
        <w:t xml:space="preserve">Zitiervorschlag: § 54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