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HebStPrV — Gegenstand der Kenntnisprüfung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In der Kenntnisprüfung hat die zu prüfende Person nachzuweisen, dass sie über die Kompetenzen verfügt, die zur Ausübung des Berufs der Hebamme erforderlich sind.</w:t>
      </w:r>
    </w:p>
    <w:p>
      <w:r>
        <w:t xml:space="preserve">(2) Gegenstand der Kenntnisprüfung sind die Kompetenzbereiche I bis VI der Anlage 1. Die Kenntnisprüfung umfasst einen mündlichen und einen praktischen Teil.</w:t>
      </w:r>
    </w:p>
    <w:p>
      <w:r>
        <w:rPr>
          <w:color w:val="555555"/>
          <w:sz w:val="17"/>
        </w:rPr>
        <w:t xml:space="preserve">Zitiervorschlag: § 48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