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HebStPrV — Fristen</w:t>
      </w:r>
    </w:p>
    <w:p>
      <w:r>
        <w:rPr>
          <w:color w:val="555555"/>
          <w:sz w:val="18"/>
        </w:rPr>
        <w:t xml:space="preserve">Studien- und Prüfungsverordnung für Hebammen</w:t>
      </w:r>
    </w:p>
    <w:p>
      <w:r>
        <w:rPr>
          <w:color w:val="555555"/>
          <w:sz w:val="18"/>
        </w:rPr>
        <w:t xml:space="preserve">Stand: 05.03.2020 (konsolidierte Textfassung, kein amtliches Inkrafttretensdatum)</w:t>
      </w:r>
    </w:p>
    <w:p>
      <w:r>
        <w:t xml:space="preserve">(1) Beantragt eine Person, die außerhalb des Geltungsbereiches des Hebammengesetzes eine Ausbildung absolviert hat, eine Erlaubnis nach § 5 des Hebammengesetzes, so bestätigt die zuständige Behörde innerhalb eines Monats nach Eingang des Antrags den Antragseingang und teilt der antragstellenden Person gegebenenfalls mit, welche Unterlagen fehlen, die für den Nachweis der Erfüllung der Voraussetzungen des § 5 Absatz 2 Nummer 1 bis 4 des Hebammengesetzes erforderlich sind.</w:t>
      </w:r>
    </w:p>
    <w:p>
      <w:r>
        <w:t xml:space="preserve">(2) Legt die antragstellende Person eine Berufsqualifikation vor, die in einem anderen Mitgliedstaat, einem anderen Vertragsstaat oder einem gleichgestellten Staat erworben worden ist, entscheidet die zuständige Behörde über den Antrag nach Absatz 1 kurzfristig, spätestens jedoch drei Monate nach Vorlage der vollständigen Unterlagen durch die antragstellende Person.</w:t>
      </w:r>
    </w:p>
    <w:p>
      <w:r>
        <w:t xml:space="preserve">(3) Legt die antragstellende Person eine Berufsqualifikation vor, die in einem Drittstaat, der kein gleichgestellter Staat ist, erworben worden ist und nicht bereits in einem anderen Mitgliedstaat, in einem anderen Vertragsstaat oder in einem gleichgestellten Staat anerkannt worden ist, entscheidet die zuständige Behörde über den Antrag nach Absatz 1 kurzfristig, spätestens jedoch vier Monate nach Vorlage der vollständigen Unterlagen durch die antragstellende Person.</w:t>
      </w:r>
    </w:p>
    <w:p>
      <w:r>
        <w:t xml:space="preserve">(4) Im Fall des § 81a des Aufenthaltsgesetzes soll die Entscheidung innerhalb von zwei Monaten erfolgen.</w:t>
      </w:r>
    </w:p>
    <w:p>
      <w:r>
        <w:rPr>
          <w:color w:val="555555"/>
          <w:sz w:val="17"/>
        </w:rPr>
        <w:t xml:space="preserve">Zitiervorschlag: § 43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