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HebStPrV — Erlaubnisurkunde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Bei der Erteilung der Erlaubnis zum Führen der Berufsbezeichnung nach § 5 Absatz 1 des Hebammengesetzes verwendet die zuständige Behörde das Muster der Erlaubnisurkunde nach Anlage 4.</w:t>
      </w:r>
    </w:p>
    <w:p>
      <w:r>
        <w:t xml:space="preserve">(2) Im Fall eines Antrags nach § 74 Absatz 2 des Hebammengesetzes verwendet die zuständige Behörde bei der Erteilung der Erlaubnis das Muster der Erlaubnisurkunde nach Anlage 5.</w:t>
      </w:r>
    </w:p>
    <w:p>
      <w:r>
        <w:t xml:space="preserve">(3) Im Fall des Zugangs zum Hebammenstudium nach § 10 Absatz 1 Nummer 1 Buchstabe b Doppelbuchstabe bb oder cc des Hebammengesetzes verwendet die zuständige Behörde bei der Erteilung der Erlaubnis das Muster der Erlaubnisurkunde nach Anlage 6.</w:t>
      </w:r>
    </w:p>
    <w:p>
      <w:r>
        <w:rPr>
          <w:color w:val="555555"/>
          <w:sz w:val="17"/>
        </w:rPr>
        <w:t xml:space="preserve">Zitiervorschlag: § 42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