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HebStPrV — Prüfungsorte und Prüfungsarten des praktischen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erste und der dritte Prüfungsteil des praktischen Teils der staatlichen Prüfung werden grundsätzlich im Krankenhaus oder an der Hochschule durchgeführt; sofern hebammengeleitete Einrichtungen oder ambulante Hebammenpraxen gemäß § 16 Absatz 2 des Hebammengesetzes eine Vereinbarung mit einer verantwortlichen Praxiseinrichtung geschlossen haben, können diese Prüfungen auch dort durchgeführt werden. Die Prüfungen sollen mit geeigneten Schwangeren, Wöchnerinnen und Neugeborenen erfolgen. Abweichend von Satz 2 kann der erste oder der dritte Prüfungsteil des praktischen Teils der staatlichen Prüfung mit Modellen und Simulationspersonen durchgeführt werden.</w:t>
      </w:r>
    </w:p>
    <w:p>
      <w:r>
        <w:t xml:space="preserve">(2) Der zweite Prüfungsteil wird an der Hochschule durchgeführt. Er erfolgt mit Modellen und Simulationspersonen.</w:t>
      </w:r>
    </w:p>
    <w:p>
      <w:r>
        <w:rPr>
          <w:color w:val="555555"/>
          <w:sz w:val="17"/>
        </w:rPr>
        <w:t xml:space="preserve">Zitiervorschlag: § 29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