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HebStPrV — Gegenstand des mündlichen Teils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Gegenstand des mündlichen Teils der staatlichen Prüfung sind Kompetenzen in den folgenden Kompetenzbereichen der Anlage 1:</w:t>
      </w:r>
    </w:p>
    <w:p>
      <w:pPr>
        <w:ind w:left="420"/>
      </w:pPr>
      <w:r>
        <w:t xml:space="preserve">1. Kompetenzbereich IV,</w:t>
      </w:r>
    </w:p>
    <w:p>
      <w:pPr>
        <w:ind w:left="420"/>
      </w:pPr>
      <w:r>
        <w:t xml:space="preserve">2. Kompetenzbereich V und</w:t>
      </w:r>
    </w:p>
    <w:p>
      <w:pPr>
        <w:ind w:left="420"/>
      </w:pPr>
      <w:r>
        <w:t xml:space="preserve">3. Kompetenzbereich VI.</w:t>
      </w:r>
    </w:p>
    <w:p>
      <w:r>
        <w:t xml:space="preserve">Im mündlichen Teil der staatlichen Prüfung werden Bezüge zum Kompetenzbereich I der Anlage 1 hergestellt.</w:t>
      </w:r>
    </w:p>
    <w:p>
      <w:r>
        <w:t xml:space="preserve">(2) Die Prüfungsaufgaben werden auf Vorschlag der Hochschule durch die Vorsitzenden des Prüfungsausschusses bestimmt.</w:t>
      </w:r>
    </w:p>
    <w:p>
      <w:r>
        <w:rPr>
          <w:color w:val="555555"/>
          <w:sz w:val="17"/>
        </w:rPr>
        <w:t xml:space="preserve">Zitiervorschlag: § 24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