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HebStPrV — Gegenstand des schriftlichen Teils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Gegenstand des schriftlichen Teils der staatlichen Prüfung sind Kompetenzen in folgenden Kompetenzbereichen der Anlage 1:</w:t>
      </w:r>
    </w:p>
    <w:p>
      <w:pPr>
        <w:ind w:left="420"/>
      </w:pPr>
      <w:r>
        <w:t xml:space="preserve">1. schwerpunktmäßig Kompetenzbereich I,</w:t>
      </w:r>
    </w:p>
    <w:p>
      <w:pPr>
        <w:ind w:left="420"/>
      </w:pPr>
      <w:r>
        <w:t xml:space="preserve">2. Kompetenzbereich II,</w:t>
      </w:r>
    </w:p>
    <w:p>
      <w:pPr>
        <w:ind w:left="420"/>
      </w:pPr>
      <w:r>
        <w:t xml:space="preserve">3. Kompetenzbereich IV und</w:t>
      </w:r>
    </w:p>
    <w:p>
      <w:pPr>
        <w:ind w:left="420"/>
      </w:pPr>
      <w:r>
        <w:t xml:space="preserve">4. Kompetenzbereich V.</w:t>
      </w:r>
    </w:p>
    <w:p>
      <w:r>
        <w:t xml:space="preserve">(2) Die Aufgaben für die Klausuren werden auf Vorschlag der Hochschule durch die Vorsitzenden des Prüfungsausschusses bestimmt.</w:t>
      </w:r>
    </w:p>
    <w:p>
      <w:r>
        <w:rPr>
          <w:color w:val="555555"/>
          <w:sz w:val="17"/>
        </w:rPr>
        <w:t xml:space="preserve">Zitiervorschlag: § 21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