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HebStPrV — Studiengangskonzept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Im Studiengangskonzept legt die Hochschule den Umfang des berufspraktischen Studienteils und des hochschulischen Studienteils unter Beachtung von § 11 Absatz 3 des Hebammengesetzes fest. 200 Stunden können dem berufspraktischen oder dem hochschulischen Teil des Studiums zugewiesen werden.</w:t>
      </w:r>
    </w:p>
    <w:p>
      <w:r>
        <w:t xml:space="preserve">(2) Bei der Konzeption des hochschulischen Studienteils soll das Selbststudium in angemessenem Umfang berücksichtigt werden.</w:t>
      </w:r>
    </w:p>
    <w:p>
      <w:r>
        <w:t xml:space="preserve">(3) Für die Praxiseinsätze des berufspraktischen Studienteils konkretisiert die Hochschule im Studiengangskonzept die jeweils zu vermittelnden Kompetenzen und verknüpft die Praxiseinsätze inhaltlich mit den theoretischen und praktischen Lehrveranstaltungen.</w:t>
      </w:r>
    </w:p>
    <w:p>
      <w:r>
        <w:t xml:space="preserve">(4) Lehrformate, die selbstgesteuertes Lernen oder E-Learning beinhalten, können zielgerichtet bei der Konzeption der theoretischen und praktischen Lehrveranstaltungen in einem angemessenen Umfang berücksichtigt werden.</w:t>
      </w:r>
    </w:p>
    <w:p>
      <w:r>
        <w:rPr>
          <w:color w:val="555555"/>
          <w:sz w:val="17"/>
        </w:rPr>
        <w:t xml:space="preserve">Zitiervorschlag: § 2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