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HebStPrV — Gegenstand und Teile der staatlichen Prüfung</w:t>
      </w:r>
    </w:p>
    <w:p>
      <w:r>
        <w:rPr>
          <w:color w:val="555555"/>
          <w:sz w:val="18"/>
        </w:rPr>
        <w:t xml:space="preserve">Studien- und Prüfungsverordnung für Hebammen</w:t>
      </w:r>
    </w:p>
    <w:p>
      <w:r>
        <w:rPr>
          <w:color w:val="555555"/>
          <w:sz w:val="18"/>
        </w:rPr>
        <w:t xml:space="preserve">Stand: 18.01.2020 (konsolidierte Textfassung, kein amtliches Inkrafttretensdatum)</w:t>
      </w:r>
    </w:p>
    <w:p>
      <w:r>
        <w:t xml:space="preserve">(1) Gegenstand der staatlichen Prüfung zur Erlangung der Erlaubnis zum Führen der Berufsbezeichnung „Hebamme“ sind die in Anlage 1 genannten Kompetenzen.</w:t>
      </w:r>
    </w:p>
    <w:p>
      <w:r>
        <w:t xml:space="preserve">(2) Die staatliche Prüfung besteht aus</w:t>
      </w:r>
    </w:p>
    <w:p>
      <w:pPr>
        <w:ind w:left="420"/>
      </w:pPr>
      <w:r>
        <w:t xml:space="preserve">1. einem schriftlichen Teil,</w:t>
      </w:r>
    </w:p>
    <w:p>
      <w:pPr>
        <w:ind w:left="420"/>
      </w:pPr>
      <w:r>
        <w:t xml:space="preserve">2. einem mündlichen Teil und</w:t>
      </w:r>
    </w:p>
    <w:p>
      <w:pPr>
        <w:ind w:left="420"/>
      </w:pPr>
      <w:r>
        <w:t xml:space="preserve">3. einem praktischen Teil.</w:t>
      </w:r>
    </w:p>
    <w:p>
      <w:r>
        <w:t xml:space="preserve">(3) Die Teile der staatlichen Prüfung werden nach § 25 Absatz 2 des Hebammengesetzes im Rahmen von Modulprüfungen durchgeführt.</w:t>
      </w:r>
    </w:p>
    <w:p>
      <w:r>
        <w:rPr>
          <w:color w:val="555555"/>
          <w:sz w:val="17"/>
        </w:rPr>
        <w:t xml:space="preserve">Zitiervorschlag: § 13 HebStPrV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https://recht.nulegal.eu/gesetze/HebStPrV/13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