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HebStPrV — Qualifikation der Praxisanleitung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27.11.2024 (konsolidierte Textfassung, kein amtliches Inkrafttretensdatum)</w:t>
      </w:r>
    </w:p>
    <w:p>
      <w:r>
        <w:t xml:space="preserve">(1) Zur Praxisanleitung befähigt ist eine Person, wenn sie</w:t>
      </w:r>
    </w:p>
    <w:p>
      <w:pPr>
        <w:ind w:left="420"/>
      </w:pPr>
      <w:r>
        <w:t xml:space="preserve">1. über eine Erlaubnis zum Führen der Berufsbezeichnung</w:t>
      </w:r>
    </w:p>
    <w:p>
      <w:pPr>
        <w:ind w:left="780"/>
      </w:pPr>
      <w:r>
        <w:t xml:space="preserve">a) „Hebamme“ nach § 5 Absatz 1 des Hebammengesetzes oder</w:t>
      </w:r>
    </w:p>
    <w:p>
      <w:pPr>
        <w:ind w:left="780"/>
      </w:pPr>
      <w:r>
        <w:t xml:space="preserve">b) „Hebamme“ oder „Entbindungspfleger“ nach § 1 Absatz 1 des Hebammengesetzes in der bis zum 31. Dezember 2019 geltenden Fassung verfügt,</w:t>
      </w:r>
    </w:p>
    <w:p>
      <w:pPr>
        <w:ind w:left="420"/>
      </w:pPr>
      <w:r>
        <w:t xml:space="preserve">2. über Berufserfahrung als Hebamme in dem jeweiligen Einsatzbereich von mindestens zwei Jahren verfügt,</w:t>
      </w:r>
    </w:p>
    <w:p>
      <w:pPr>
        <w:ind w:left="420"/>
      </w:pPr>
      <w:r>
        <w:t xml:space="preserve">3. eine berufspädagogische Zusatzqualifikation im Umfang von mindestens 300 Stunden absolviert hat und</w:t>
      </w:r>
    </w:p>
    <w:p>
      <w:pPr>
        <w:ind w:left="420"/>
      </w:pPr>
      <w:r>
        <w:t xml:space="preserve">4. kontinuierliche berufspädagogische Fortbildungen im Umfang von mindestens 24 Stunden jährlich absolviert.</w:t>
      </w:r>
    </w:p>
    <w:p>
      <w:r>
        <w:t xml:space="preserve">Die Länder können den Zeitraum, in dem die berufspädagogischen Fortbildungen nach Satz 1 Nummer 4 zu absolvieren sind, auf bis zu drei Jahre verlängern. Der Stundenumfang ist entsprechend zu erhöhen.</w:t>
      </w:r>
    </w:p>
    <w:p>
      <w:r>
        <w:t xml:space="preserve">(2) Die in Absatz 1 geregelten Qualifikationsanforderungen sind der zuständigen Behörde nachzuweisen.</w:t>
      </w:r>
    </w:p>
    <w:p>
      <w:r>
        <w:t xml:space="preserve">(3) Abweichend von Absatz 1 kann die Praxisanleitung in den Praxiseinsätzen nach § 6 Absatz 2 von jeder Person durchgeführt werden, die zur entsprechenden Kompetenzvermittlung befähigt ist.</w:t>
      </w:r>
    </w:p>
    <w:p>
      <w:r>
        <w:t xml:space="preserve">(4) Lehrformate, die selbstgesteuertes Lernen oder E-Learning beinhalten, können als pädagogische Hilfsmittel bei der Konzeption der Qualifikationsmaßnahmen nach Absatz 1 Satz 1 Nummer 3 und 4 in angemessenem Umfang berücksichtigt werden. Eine vollständig digitale Durchführung ist nur für die kontinuierliche berufspädagogische Fortbildung nach Absatz 1 Satz 1 Nummer 4 zulässig. Die Teilnahme an digitalen Lehrformaten ist vom Anbieter der Qualifikationsmaßnahme festzustellen. Das Nähere regeln die Länder.</w:t>
      </w:r>
    </w:p>
    <w:p>
      <w:r>
        <w:rPr>
          <w:color w:val="555555"/>
          <w:sz w:val="17"/>
        </w:rPr>
        <w:t xml:space="preserve">Zitiervorschlag: § 10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