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HebStPrV — Inhalt des Studiums</w:t>
      </w:r>
    </w:p>
    <w:p>
      <w:r>
        <w:rPr>
          <w:color w:val="555555"/>
          <w:sz w:val="18"/>
        </w:rPr>
        <w:t xml:space="preserve">Studien- und Prüfungsverordnung für Hebammen</w:t>
      </w:r>
    </w:p>
    <w:p>
      <w:r>
        <w:rPr>
          <w:color w:val="555555"/>
          <w:sz w:val="18"/>
        </w:rPr>
        <w:t xml:space="preserve">Stand: 18.01.2020 (konsolidierte Textfassung, kein amtliches Inkrafttretensdatum)</w:t>
      </w:r>
    </w:p>
    <w:p>
      <w:r>
        <w:t xml:space="preserve">Im Hebammenstudium sind der studierenden Person die in Anlage 1 genannten Kompetenzen zu vermitteln.</w:t>
      </w:r>
    </w:p>
    <w:p>
      <w:r>
        <w:rPr>
          <w:color w:val="555555"/>
          <w:sz w:val="17"/>
        </w:rPr>
        <w:t xml:space="preserve">Zitiervorschlag: § 1 HebStPrV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https://recht.nulegal.eu/gesetze/HebStPrV/1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