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HebGebV (Bayern)</w:t>
      </w:r>
    </w:p>
    <w:p>
      <w:r>
        <w:rPr>
          <w:color w:val="555555"/>
          <w:sz w:val="18"/>
        </w:rPr>
        <w:t xml:space="preserve">Hebammengebührenverordnung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34 Abs. 2 Nr. 1 des Gesetzes über den öffentlichen Gesundheits- und Veterinärdienst, die Ernährung und den Verbraucherschutz sowie die Lebensmittelüberwachung (Gesundheitsdienst- und Verbraucherschutzgesetz – GDVG) vom 24. Juli 2003 (GVBl S. 452, BayRS 2120-1-UG), zuletzt geändert durch § 22 des Gesetzes vom 27. Juli 2009 (GVBl S. 400), erlässt das Bayerische Staatsministerium für Umwelt und Gesundheit folgende Verordnung:</w:t>
      </w:r>
    </w:p>
    <w:p>
      <w:r>
        <w:rPr>
          <w:color w:val="555555"/>
          <w:sz w:val="17"/>
        </w:rPr>
        <w:t xml:space="preserve">Zitiervorschlag: Eingangsformel HebGebV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