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HebGebV (Bayern) — Inkrafttreten, Außerkrafttreten</w:t>
      </w:r>
    </w:p>
    <w:p>
      <w:r>
        <w:rPr>
          <w:color w:val="555555"/>
          <w:sz w:val="18"/>
        </w:rPr>
        <w:t xml:space="preserve">Hebammengebührenverordnung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tritt am 1. Mai 2011 in Kraft. Mit Ablauf des 30. April 2011 tritt die Verordnung über Gebühren für Hebammenhilfe außerhalb der gesetzlichen Krankenversicherung vom 7. Dezember 1994 (GVBl S. 1069, BayRS 2124-1-3-UG), zuletzt geändert durch Verordnung vom 15. Februar 2007 (GVBl S. 208), außer Kraft.</w:t>
      </w:r>
    </w:p>
    <w:p>
      <w:r>
        <w:rPr>
          <w:color w:val="555555"/>
          <w:sz w:val="17"/>
        </w:rPr>
        <w:t xml:space="preserve">Zitiervorschlag: § 3 HebGebV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https://recht.nulegal.eu/gesetze/HebGebV/3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