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HebGBbg (Brandenburg)</w:t>
      </w:r>
    </w:p>
    <w:p>
      <w:r>
        <w:rPr>
          <w:color w:val="555555"/>
          <w:sz w:val="18"/>
        </w:rPr>
        <w:t xml:space="preserve">Gesetz über die Ausübung des Berufes der Hebamme und des Entbindungspflegers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Den freiberuflichen Hebammen und Entbindungspflegern stehen</w:t>
      </w:r>
    </w:p>
    <w:p>
      <w:r>
        <w:t xml:space="preserve">für ihre berufsmäßigen Leistungen Vergütungen zu. Diese</w:t>
      </w:r>
    </w:p>
    <w:p>
      <w:r>
        <w:t xml:space="preserve">richten sich nach den jeweils geltenden Gebührenordnungen.</w:t>
      </w:r>
    </w:p>
    <w:p>
      <w:r>
        <w:t xml:space="preserve">(2) Das für das Gesundheitswesen zuständige Mitglied</w:t>
      </w:r>
    </w:p>
    <w:p>
      <w:r>
        <w:t xml:space="preserve">der Landesregierung wird ermächtigt, zur Sicherstellung der Versorgung der</w:t>
      </w:r>
    </w:p>
    <w:p>
      <w:r>
        <w:t xml:space="preserve">Bevölkerung mit freiberuflichen Hebammenleistungen durch Rechtsverordnung</w:t>
      </w:r>
    </w:p>
    <w:p>
      <w:r>
        <w:t xml:space="preserve">die Vergütungen (Gebühren, Auslagen, Wegegeld) für die</w:t>
      </w:r>
    </w:p>
    <w:p>
      <w:r>
        <w:t xml:space="preserve">berufsmäßigen Leistungen der freiberuflichen Hebammen und</w:t>
      </w:r>
    </w:p>
    <w:p>
      <w:r>
        <w:t xml:space="preserve">Entbindungspfleger gegenüber Selbstzahlerinnen festzusetzen. Dabei ist den</w:t>
      </w:r>
    </w:p>
    <w:p>
      <w:r>
        <w:t xml:space="preserve">berechtigten Interessen der Hebammen und Entbindungspfleger sowie der</w:t>
      </w:r>
    </w:p>
    <w:p>
      <w:r>
        <w:t xml:space="preserve">Zahlungspflichtigen Rechnung zu tragen. Die Vergütungen können durch</w:t>
      </w:r>
    </w:p>
    <w:p>
      <w:r>
        <w:t xml:space="preserve">feste Sätze, nach der Dauer der Tätigkeit oder durch Rahmensätze</w:t>
      </w:r>
    </w:p>
    <w:p>
      <w:r>
        <w:t xml:space="preserve">bestimmt werden.</w:t>
      </w:r>
    </w:p>
    <w:p>
      <w:r>
        <w:t xml:space="preserve">(3) Sind in der Verordnung nach Absatz 2 Rahmensätze</w:t>
      </w:r>
    </w:p>
    <w:p>
      <w:r>
        <w:t xml:space="preserve">vorgesehen, so ist die Höhe der Gebühr nach den besonderen</w:t>
      </w:r>
    </w:p>
    <w:p>
      <w:r>
        <w:t xml:space="preserve">Umständen des Einzelfalles, insbesondere nach der Schwierigkeit und dem</w:t>
      </w:r>
    </w:p>
    <w:p>
      <w:r>
        <w:t xml:space="preserve">Zeitaufwand der einzelnen Leistungen sowie den Vermögens- und</w:t>
      </w:r>
    </w:p>
    <w:p>
      <w:r>
        <w:t xml:space="preserve">Einkommensverhältnissen der Zahlungspflichtigen zu bemessen.</w:t>
      </w:r>
    </w:p>
    <w:p>
      <w:r>
        <w:rPr>
          <w:color w:val="555555"/>
          <w:sz w:val="17"/>
        </w:rPr>
        <w:t xml:space="preserve">Zitiervorschlag: § 2 HebGBbg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https://recht.nulegal.eu/gesetze/HebGBbg/2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