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HebG 2020 — Widerruf der Erlaubnis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Erlaubnis ist zu widerrufen, wenn nachträglich</w:t>
      </w:r>
    </w:p>
    <w:p>
      <w:pPr>
        <w:ind w:left="420"/>
      </w:pPr>
      <w:r>
        <w:t xml:space="preserve">1. die Voraussetzung nach § 5 Absatz 2 Nummer 2 wegfällt oder</w:t>
      </w:r>
    </w:p>
    <w:p>
      <w:pPr>
        <w:ind w:left="420"/>
      </w:pPr>
      <w:r>
        <w:t xml:space="preserve">2. die Voraussetzung nach § 5 Absatz 2 Nummer 3 dauerhaft wegfällt.</w:t>
      </w:r>
    </w:p>
    <w:p>
      <w:r>
        <w:t xml:space="preserve">(2) Im Übrigen bleiben die dem § 49 des Verwaltungsverfahrensgesetzes entsprechenden landesgesetzlichen Vorschriften unberührt.</w:t>
      </w:r>
    </w:p>
    <w:p>
      <w:r>
        <w:rPr>
          <w:color w:val="555555"/>
          <w:sz w:val="17"/>
        </w:rPr>
        <w:t xml:space="preserve">Zitiervorschlag: § 7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