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HebG 2020 — Unterrichtung über gefälschte Berufsqualifikationsnachweise</w:t>
      </w:r>
    </w:p>
    <w:p>
      <w:r>
        <w:rPr>
          <w:color w:val="555555"/>
          <w:sz w:val="18"/>
        </w:rPr>
        <w:t xml:space="preserve">Hebammengesetz</w:t>
      </w:r>
    </w:p>
    <w:p>
      <w:r>
        <w:rPr>
          <w:color w:val="555555"/>
          <w:sz w:val="18"/>
        </w:rPr>
        <w:t xml:space="preserve">Stand: 10.01.2020 (konsolidierte Textfassung, kein amtliches Inkrafttretensdatum)</w:t>
      </w:r>
    </w:p>
    <w:p>
      <w:r>
        <w:t xml:space="preserve">(1) Wird gerichtlich festgestellt, dass eine Person bei ihrem Antrag auf Erteilung der Erlaubnis nach § 5 gefälschte Berufsqualifikationsnachweise vorgelegt hat, unterrichtet die zuständige Behörde die zuständigen Stellen der Mitgliedstaaten, der anderen Vertragsstaaten und der gleichgestellten Staaten über</w:t>
      </w:r>
    </w:p>
    <w:p>
      <w:pPr>
        <w:ind w:left="420"/>
      </w:pPr>
      <w:r>
        <w:t xml:space="preserve">1. die Identität dieser Person, insbesondere über deren</w:t>
      </w:r>
    </w:p>
    <w:p>
      <w:pPr>
        <w:ind w:left="780"/>
      </w:pPr>
      <w:r>
        <w:t xml:space="preserve">a) Namen und Vornamen,</w:t>
      </w:r>
    </w:p>
    <w:p>
      <w:pPr>
        <w:ind w:left="780"/>
      </w:pPr>
      <w:r>
        <w:t xml:space="preserve">b) Geburtsdatum,</w:t>
      </w:r>
    </w:p>
    <w:p>
      <w:pPr>
        <w:ind w:left="780"/>
      </w:pPr>
      <w:r>
        <w:t xml:space="preserve">c) Geburtsort und</w:t>
      </w:r>
    </w:p>
    <w:p>
      <w:pPr>
        <w:ind w:left="420"/>
      </w:pPr>
      <w:r>
        <w:t xml:space="preserve">2. den Umstand, dass diese Person gefälschte Berufsqualifikationsnachweise vorgelegt hat.</w:t>
      </w:r>
    </w:p>
    <w:p>
      <w:r>
        <w:t xml:space="preserve">(2) Die Unterrichtung über die Fälschung erfolgt unverzüglich, spätestens jedoch drei Tage nach Unanfechtbarkeit der Feststellung. Für die Unterrichtung über die Fälschung ist das Binnenmarkt-Informationssystem zu verwenden.</w:t>
      </w:r>
    </w:p>
    <w:p>
      <w:r>
        <w:t xml:space="preserve">(3) Gleichzeitig mit der Unterrichtung über die Fälschung unterrichtet die Behörde, die die Unterrichtung über die Fälschung vorgenommen hat, die betroffene Person schriftlich über die Unterrichtung über die Fälschung und deren Inhalt. Der Unterrichtung hat sie eine Rechtsbehelfsbelehrung beizufügen. Wird ein Rechtsbehelf gegen die Unterrichtung über die Fälschung eingelegt, so ergänzt die Stelle, die die Unterrichtung über die Fälschung getätigt hat, die Unterrichtung über die Fälschung um einen entsprechenden Hinweis.</w:t>
      </w:r>
    </w:p>
    <w:p>
      <w:r>
        <w:rPr>
          <w:color w:val="555555"/>
          <w:sz w:val="17"/>
        </w:rPr>
        <w:t xml:space="preserve">Zitiervorschlag: § 69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