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HebG 2020 — Meldung wesentlicher Änderungen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dienstleistungserbringende Person ist verpflichtet, der zuständigen Behörde unverzüglich zu melden</w:t>
      </w:r>
    </w:p>
    <w:p>
      <w:pPr>
        <w:ind w:left="420"/>
      </w:pPr>
      <w:r>
        <w:t xml:space="preserve">1. jede Änderung ihrer Staatsangehörigkeit,</w:t>
      </w:r>
    </w:p>
    <w:p>
      <w:pPr>
        <w:ind w:left="420"/>
      </w:pPr>
      <w:r>
        <w:t xml:space="preserve">2. den Verlust ihrer rechtmäßigen Niederlassung als Hebamme in einem anderen Mitgliedstaat, in einem anderen Vertragsstaat oder in einem gleichgestellten Staat,</w:t>
      </w:r>
    </w:p>
    <w:p>
      <w:pPr>
        <w:ind w:left="420"/>
      </w:pPr>
      <w:r>
        <w:t xml:space="preserve">3. die Tatsache, dass ihr die Ausübung des Hebammenberufs untersagt ist, auch bei vorübergehender Untersagung,</w:t>
      </w:r>
    </w:p>
    <w:p>
      <w:pPr>
        <w:ind w:left="420"/>
      </w:pPr>
      <w:r>
        <w:t xml:space="preserve">4. die Tatsache, dass bei ihr eine Vorstrafe vorliegt, oder</w:t>
      </w:r>
    </w:p>
    <w:p>
      <w:pPr>
        <w:ind w:left="420"/>
      </w:pPr>
      <w:r>
        <w:t xml:space="preserve">5. die Tatsache, dass sie in gesundheitlicher Hinsicht nicht mehr zur Ausübung des Hebammenberufs geeignet ist.</w:t>
      </w:r>
    </w:p>
    <w:p>
      <w:r>
        <w:t xml:space="preserve">(2) Mit der Meldung hat die dienstleistungserbringende Person der zuständigen Behörde die entsprechenden Nachweise, Bescheinigungen oder Erklärungen vorzulegen.</w:t>
      </w:r>
    </w:p>
    <w:p>
      <w:r>
        <w:rPr>
          <w:color w:val="555555"/>
          <w:sz w:val="17"/>
        </w:rPr>
        <w:t xml:space="preserve">Zitiervorschlag: § 62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