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HebG 2020 — Rücknahme der Erlaubnis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Erlaubnis ist zurückzunehmen, wenn bei ihrer Erteilung die Voraussetzung des § 5 Absatz 2 Nummer 1 oder Nummer 2 nicht vorgelegen hat.</w:t>
      </w:r>
    </w:p>
    <w:p>
      <w:r>
        <w:t xml:space="preserve">(2) Die Erlaubnis kann zurückgenommen werden, wenn bei ihrer Erteilung die Voraussetzung des § 5 Absatz 2 Nummer 3 oder Nummer 4 nicht vorgelegen hat.</w:t>
      </w:r>
    </w:p>
    <w:p>
      <w:r>
        <w:t xml:space="preserve">(3) Im Übrigen bleiben die dem § 48 des Verwaltungsverfahrensgesetzes entsprechenden landesgesetzlichen Vorschriften unberührt.</w:t>
      </w:r>
    </w:p>
    <w:p>
      <w:r>
        <w:rPr>
          <w:color w:val="555555"/>
          <w:sz w:val="17"/>
        </w:rPr>
        <w:t xml:space="preserve">Zitiervorschlag: § 6 HebG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https://recht.nulegal.eu/gesetze/HebG%202020/6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