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HebG 2020 — Kenntnisprüfung oder Anpassungslehrgang</w:t>
      </w:r>
    </w:p>
    <w:p>
      <w:r>
        <w:rPr>
          <w:color w:val="555555"/>
          <w:sz w:val="18"/>
        </w:rPr>
        <w:t xml:space="preserve">Hebammengesetz</w:t>
      </w:r>
    </w:p>
    <w:p>
      <w:r>
        <w:rPr>
          <w:color w:val="555555"/>
          <w:sz w:val="18"/>
        </w:rPr>
        <w:t xml:space="preserve">Stand: 10.01.2020 (konsolidierte Textfassung, kein amtliches Inkrafttretensdatum)</w:t>
      </w:r>
    </w:p>
    <w:p>
      <w:r>
        <w:t xml:space="preserve">(1) Wenn die antragstellende Person eine Berufsqualifikation vorlegt, die in einem Drittstaat, der kein gleichgestellter Staat ist, erworben worden ist und nicht bereits in einem anderen Mitgliedstaat, in einem anderen Vertragsstaat oder in einem gleichgestellten Staat anerkannt worden ist, hat sie folgende Maßnahme als Anpassungsmaßnahme zu absolvieren:</w:t>
      </w:r>
    </w:p>
    <w:p>
      <w:pPr>
        <w:ind w:left="420"/>
      </w:pPr>
      <w:r>
        <w:t xml:space="preserve">1. eine Kenntnisprüfung, die sich auf den Inhalt der staatlichen Prüfung des Hebammenstudiums erstreckt, oder</w:t>
      </w:r>
    </w:p>
    <w:p>
      <w:pPr>
        <w:ind w:left="420"/>
      </w:pPr>
      <w:r>
        <w:t xml:space="preserve">2. einen höchstens dreijährigen Anpassungslehrgang, der mit einer Prüfung über den Inhalt des Anpassungslehrgangs abschließt.</w:t>
      </w:r>
    </w:p>
    <w:p>
      <w:r>
        <w:t xml:space="preserve">(2) Die antragstellende Person kann zwischen der Kenntnisprüfung und dem Anpassungslehrgang wählen.</w:t>
      </w:r>
    </w:p>
    <w:p>
      <w:r>
        <w:rPr>
          <w:color w:val="555555"/>
          <w:sz w:val="17"/>
        </w:rPr>
        <w:t xml:space="preserve">Zitiervorschlag: § 59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