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 HebG 2020 — Anerkennung von weiteren Berufsqualifikationen; Gleichwertigkeit</w:t>
      </w:r>
    </w:p>
    <w:p>
      <w:r>
        <w:rPr>
          <w:color w:val="555555"/>
          <w:sz w:val="18"/>
        </w:rPr>
        <w:t xml:space="preserve">Hebammengesetz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Eine Berufsqualifikation, die nicht nach Abschnitt 2 dieses Teils automatisch anerkannt wird, wird anerkannt, wenn</w:t>
      </w:r>
    </w:p>
    <w:p>
      <w:pPr>
        <w:ind w:left="420"/>
      </w:pPr>
      <w:r>
        <w:t xml:space="preserve">1. sie mit der in diesem Gesetz geregelten Berufsqualifikation gleichwertig ist oder</w:t>
      </w:r>
    </w:p>
    <w:p>
      <w:pPr>
        <w:ind w:left="420"/>
      </w:pPr>
      <w:r>
        <w:t xml:space="preserve">2. die antragstellende Person die erforderliche Anpassungsmaßnahme erfolgreich absolviert hat.</w:t>
      </w:r>
    </w:p>
    <w:p>
      <w:r>
        <w:t xml:space="preserve">(2) Eine Berufsqualifikation ist der in diesem Gesetz geregelten Berufsqualifikation gleichwertig, wenn</w:t>
      </w:r>
    </w:p>
    <w:p>
      <w:pPr>
        <w:ind w:left="420"/>
      </w:pPr>
      <w:r>
        <w:t xml:space="preserve">1. sie sich nicht wesentlich von der in diesem Gesetz und in der Studien- und Prüfungsverordnung nach § 71 geregelten Berufsqualifikation unterscheidet oder</w:t>
      </w:r>
    </w:p>
    <w:p>
      <w:pPr>
        <w:ind w:left="420"/>
      </w:pPr>
      <w:r>
        <w:t xml:space="preserve">2. wesentliche Unterschiede vollständig durch den Nachweis von Kenntnissen, Fähigkeiten und Kompetenzen nach § 56 ausgeglichen werden.</w:t>
      </w:r>
    </w:p>
    <w:p>
      <w:r>
        <w:rPr>
          <w:color w:val="555555"/>
          <w:sz w:val="17"/>
        </w:rPr>
        <w:t xml:space="preserve">Zitiervorschlag: § 54 HebG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https://recht.nulegal.eu/gesetze/HebG%202020/54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