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53 HebG 2020 — Europäischer Berufsausweis</w:t>
      </w:r>
    </w:p>
    <w:p>
      <w:r>
        <w:rPr>
          <w:color w:val="555555"/>
          <w:sz w:val="18"/>
        </w:rPr>
        <w:t xml:space="preserve">Hebammengesetz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Für den Fall einer Einführung eines Europäischen Berufsausweises für den Hebammenberuf gelten die Regelungen über die Anerkennung von Berufsqualifikationen dieses Teils entsprechend.</w:t>
      </w:r>
    </w:p>
    <w:p>
      <w:r>
        <w:rPr>
          <w:color w:val="555555"/>
          <w:sz w:val="17"/>
        </w:rPr>
        <w:t xml:space="preserve">Zitiervorschlag: § 53 HebG 2020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https://recht.nulegal.eu/gesetze/HebG%202020/53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