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HebG 2020 — Gemeinsame Einrichtung; Berufsqualifikationsfeststellungsgesetz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Länder können vereinbaren, dass die Aufgaben nach diesem Teil von einem anderen Land oder einer gemeinsamen Einrichtung wahrgenommen werden.</w:t>
      </w:r>
    </w:p>
    <w:p>
      <w:r>
        <w:t xml:space="preserve">(2) Das Berufsqualifikationsfeststellungsgesetz findet mit Ausnahme des § 17 des Berufsqualifikationsfeststellungsgesetzes keine Anwendung.</w:t>
      </w:r>
    </w:p>
    <w:p>
      <w:r>
        <w:rPr>
          <w:color w:val="555555"/>
          <w:sz w:val="17"/>
        </w:rPr>
        <w:t xml:space="preserve">Zitiervorschlag: § 45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