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HebG 2020 — Vergütung</w:t>
      </w:r>
    </w:p>
    <w:p>
      <w:r>
        <w:rPr>
          <w:color w:val="555555"/>
          <w:sz w:val="18"/>
        </w:rPr>
        <w:t xml:space="preserve">Hebammengesetz</w:t>
      </w:r>
    </w:p>
    <w:p>
      <w:r>
        <w:rPr>
          <w:color w:val="555555"/>
          <w:sz w:val="18"/>
        </w:rPr>
        <w:t xml:space="preserve">Stand: 10.01.2020 (konsolidierte Textfassung, kein amtliches Inkrafttretensdatum)</w:t>
      </w:r>
    </w:p>
    <w:p>
      <w:r>
        <w:t xml:space="preserve">(1) Die verantwortliche Praxiseinrichtung hat der studierenden Person vom Beginn des Studiums bis zum Ende des Vertragsverhältnisses eine angemessene monatliche Vergütung zu zahlen.</w:t>
      </w:r>
    </w:p>
    <w:p>
      <w:r>
        <w:t xml:space="preserve">(2) Sachbezüge können in Höhe der Werte, die durch Rechtsverordnung nach § 17 Absatz 1 Satz 1 Nummer 4 des Vierten Buches Sozialgesetzbuch bestimmt sind, angerechnet werden. Der Wert der Sachbezüge darf 75 Prozent der Bruttovergütung nicht überschreiten. Die Anrechnung von Sachbezügen ist nur zulässig, soweit dies im Vertrag zur akademischen Hebammenausbildung vereinbart ist. Kann die studierende Person aus berechtigtem Grund Sachbezüge nicht abnehmen, so sind diese nach den Sachbezugswerten abzugelten.</w:t>
      </w:r>
    </w:p>
    <w:p>
      <w:r>
        <w:rPr>
          <w:color w:val="555555"/>
          <w:sz w:val="17"/>
        </w:rPr>
        <w:t xml:space="preserve">Zitiervorschlag: § 34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