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HebG 2020 — Pflichten der Studierenden</w:t>
      </w:r>
    </w:p>
    <w:p>
      <w:r>
        <w:rPr>
          <w:color w:val="555555"/>
          <w:sz w:val="18"/>
        </w:rPr>
        <w:t xml:space="preserve">Hebammengesetz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Die studierende Person hat sich zu bemühen, die in § 9 genannten Kompetenzen zu erwerben, die erforderlich sind, um das Studienziel zu erreichen.</w:t>
      </w:r>
    </w:p>
    <w:p>
      <w:r>
        <w:t xml:space="preserve">(2) Die studierende Person ist insbesondere verpflichtet,</w:t>
      </w:r>
    </w:p>
    <w:p>
      <w:pPr>
        <w:ind w:left="420"/>
      </w:pPr>
      <w:r>
        <w:t xml:space="preserve">1. an den vorgeschriebenen anwesenheitspflichtigen hochschulischen Lehrveranstaltungen teilzunehmen,</w:t>
      </w:r>
    </w:p>
    <w:p>
      <w:pPr>
        <w:ind w:left="420"/>
      </w:pPr>
      <w:r>
        <w:t xml:space="preserve">2. die ihr im Rahmen des berufspraktischen Teils des Studiums übertragenen Aufgaben sorgfältig auszuführen,</w:t>
      </w:r>
    </w:p>
    <w:p>
      <w:pPr>
        <w:ind w:left="420"/>
      </w:pPr>
      <w:r>
        <w:t xml:space="preserve">3. einen Nachweis über die Tätigkeitsschwerpunkte des berufspraktischen Studienteils zu führen,</w:t>
      </w:r>
    </w:p>
    <w:p>
      <w:pPr>
        <w:ind w:left="420"/>
      </w:pPr>
      <w:r>
        <w:t xml:space="preserve">4. die für die Beschäftigten in den Einrichtungen und für freiberufliche Hebammen nach § 13 Absatz 1 Satz 1 Nummer 1 und 2 geltenden Bestimmungen über die Schweigepflicht einzuhalten und über Betriebsgeheimnisse Stillschweigen zu wahren und</w:t>
      </w:r>
    </w:p>
    <w:p>
      <w:pPr>
        <w:ind w:left="420"/>
      </w:pPr>
      <w:r>
        <w:t xml:space="preserve">5. die Rechte der zu betreuenden Frauen und Familien zu achten.</w:t>
      </w:r>
    </w:p>
    <w:p>
      <w:r>
        <w:rPr>
          <w:color w:val="555555"/>
          <w:sz w:val="17"/>
        </w:rPr>
        <w:t xml:space="preserve">Zitiervorschlag: § 33 HebG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https://recht.nulegal.eu/gesetze/HebG%202020/33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