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29 HebG 2020 — Wirksamkeit des Vertrages</w:t>
      </w:r>
    </w:p>
    <w:p>
      <w:r>
        <w:rPr>
          <w:color w:val="555555"/>
          <w:sz w:val="18"/>
        </w:rPr>
        <w:t xml:space="preserve">Hebammengesetz</w:t>
      </w:r>
    </w:p>
    <w:p>
      <w:r>
        <w:rPr>
          <w:color w:val="555555"/>
          <w:sz w:val="18"/>
        </w:rPr>
        <w:t xml:space="preserve">Stand: 10.01.2020 (konsolidierte Textfassung, kein amtliches Inkrafttretensdatum)</w:t>
      </w:r>
    </w:p>
    <w:p>
      <w:r>
        <w:t xml:space="preserve">Der Vertrag zur akademischen Hebammenausbildung wird erst wirksam, wenn die studierende Person der verantwortlichen Praxiseinrichtung eine schriftliche Studienplatzzusage einer Hochschule, mit der die verantwortliche Praxiseinrichtung eine Kooperationsvereinbarung nach § 21 Absatz 2 abgeschlossen hat, vorlegt.</w:t>
      </w:r>
    </w:p>
    <w:p>
      <w:r>
        <w:rPr>
          <w:color w:val="555555"/>
          <w:sz w:val="17"/>
        </w:rPr>
        <w:t xml:space="preserve">Zitiervorschlag: § 29 HebG 2020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https://recht.nulegal.eu/gesetze/HebG%202020/29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